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736" w:type="dxa"/>
        <w:tblInd w:w="989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16"/>
        <w:gridCol w:w="1434"/>
        <w:gridCol w:w="1273"/>
        <w:gridCol w:w="1813"/>
      </w:tblGrid>
      <w:tr>
        <w:tblPrEx/>
        <w:trPr/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36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УТВЕРЖДЕН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48"/>
              <w:ind w:left="-142" w:right="0" w:firstLine="0"/>
              <w:jc w:val="both"/>
              <w:tabs>
                <w:tab w:val="left" w:pos="4394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 решением Думы Тайшетского </w:t>
            </w:r>
            <w:r>
              <w:rPr>
                <w:sz w:val="24"/>
                <w:szCs w:val="24"/>
              </w:rPr>
              <w:t xml:space="preserve">муниципального  округа Иркутской области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от «      »  апреля   2026 года №__________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48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Перечень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услуг,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которые являются необходимыми и обязательными для предоставления муниципал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ных услуг 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предоставляются организациями, участвующими в предоставл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нии муниципальных услуг,</w:t>
      </w:r>
      <w:r>
        <w:rPr>
          <w:sz w:val="24"/>
          <w:szCs w:val="24"/>
        </w:rPr>
        <w:t xml:space="preserve"> и порядок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определения </w:t>
      </w:r>
      <w:r>
        <w:rPr>
          <w:sz w:val="24"/>
          <w:szCs w:val="24"/>
        </w:rPr>
        <w:t xml:space="preserve">размера </w:t>
      </w:r>
      <w:r>
        <w:rPr>
          <w:sz w:val="24"/>
          <w:szCs w:val="24"/>
        </w:rPr>
        <w:t xml:space="preserve">платы за оказание таких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76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28" w:type="dxa"/>
          <w:right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7"/>
        <w:gridCol w:w="2580"/>
        <w:gridCol w:w="2539"/>
        <w:gridCol w:w="1146"/>
        <w:gridCol w:w="3389"/>
        <w:gridCol w:w="4252"/>
        <w:gridCol w:w="12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80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Наименование услуги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39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Организации, предоставляющие необходимые и обязательные услуги и участвующие в предоставлении муниципальных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146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Оплата услуги (за счет средств заявителя/безвозмездно)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389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муниципальной услуги, для оказания которой необходимо предоставление обязательной и необходимой услуги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Нормативный правовой акт, устанавливающий обязательность предоставления заявителем документа для получения услуги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290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Основание для взимания с заявителя платы за предоставление услуги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80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39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146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389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290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7"/>
            <w:tcW w:w="15763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В сфере жилищных правоотношений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913"/>
        </w:trPr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80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Заключение о соответствии жилых помещений установленным требованиям (для признания многоквартирного дома аварийным)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39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Специализированные организации, имеющие право оказания услуги в соответствии с действующим законодательством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146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389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</w:t>
            </w:r>
            <w:r>
              <w:rPr>
                <w:sz w:val="24"/>
                <w:szCs w:val="24"/>
                <w:highlight w:val="white"/>
              </w:rPr>
              <w:t xml:space="preserve">Признание помещения жилым помещением, жилого помещения не пригодным для проживания и многоквартирного дома аварийным и подлежащим сносу или реконструкции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 Жилищн</w:t>
            </w:r>
            <w:r>
              <w:rPr>
                <w:sz w:val="24"/>
                <w:szCs w:val="24"/>
                <w:highlight w:val="white"/>
              </w:rPr>
              <w:t xml:space="preserve">ый кодекс Российской Федерации;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689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 постановление Правительства 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оссийской Федерации от 28 января 2006 года № 47 «Об утверждении положения о признании помещения жилым помещением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, жилого помещения непригодным для проживания, многоквартирного дома аварийным и подлежащим сносу или  реконструкции, садового дома жилым домом и жилого дома садовым домом (далее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е от 28 января 2006 года № 47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90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Статьи 420, 421,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HYPERLINK "consultantplus://offline/ref=A4B585ED8D210A0CC34DA85992EDE8EBA3B61717853F79794973463383E0316C6586D29E2362FB5AH3d6G"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424</w:t>
            </w:r>
            <w:r>
              <w:rPr>
                <w:sz w:val="24"/>
                <w:szCs w:val="24"/>
                <w:highlight w:val="white"/>
              </w:rPr>
              <w:fldChar w:fldCharType="end"/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Гражданского 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97"/>
        </w:trPr>
        <w:tc>
          <w:tcPr>
            <w:tcW w:w="567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1.2.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80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Заключение по обследованию технического состояния объекта, подтверждающее соответствие садового дома требованиям к надежности и безопасности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39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 Индивидуальные предприниматели или юридические лица, которые являются членами саморегулируемой организации в области инженерных изысканий (в случае признания садового дома жилым домом)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146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заявителя, на договорно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389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 xml:space="preserve"> Признание садового дома жилым домом и жилого дома садовым домом, расположенного </w:t>
            </w:r>
            <w:r>
              <w:rPr>
                <w:sz w:val="24"/>
                <w:szCs w:val="24"/>
                <w:highlight w:val="white"/>
              </w:rPr>
              <w:t xml:space="preserve">на территории  муниципального образования «Тайшетский  муниципальный округ Иркутской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252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подпункт «в» пункта 56 главы </w:t>
            </w:r>
            <w:r>
              <w:rPr>
                <w:sz w:val="24"/>
                <w:szCs w:val="24"/>
                <w:highlight w:val="white"/>
              </w:rPr>
              <w:t xml:space="preserve">VI </w:t>
            </w:r>
            <w:r>
              <w:rPr>
                <w:sz w:val="24"/>
                <w:szCs w:val="24"/>
                <w:highlight w:val="white"/>
              </w:rPr>
              <w:t xml:space="preserve">Постановления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от 28 января 2006 года № 47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290" w:type="dxa"/>
            <w:vAlign w:val="top"/>
            <w:vMerge w:val="restart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Статьи 420, 421,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HYPERLINK "consultantplus://offline/ref=A4B585ED8D210A0CC34DA85992EDE8EBA3B61717853F79794973463383E0316C6586D29E2362FB5AH3d6G"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424</w:t>
            </w:r>
            <w:r>
              <w:rPr>
                <w:sz w:val="24"/>
                <w:szCs w:val="24"/>
                <w:highlight w:val="white"/>
              </w:rPr>
              <w:fldChar w:fldCharType="end"/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Гражданского 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tbl>
      <w:tblPr>
        <w:tblW w:w="1574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28" w:type="dxa"/>
          <w:right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7"/>
        <w:gridCol w:w="2568"/>
        <w:gridCol w:w="2551"/>
        <w:gridCol w:w="1134"/>
        <w:gridCol w:w="3402"/>
        <w:gridCol w:w="4252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21"/>
        </w:trPr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заключения проектно-изыскательской организации по результатам обследования элементов ограждающих и несущих конструкций жилого помещения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Организации, имеющие свидетельство о допуске к определенному виду или видам работ, которые оказывают влияние на безопасность объектов капитального строительства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Признание помещения жилым помещением, жилого помещения не пригодным для проживания и многоквартирного дома аварийным и подлежащим сносу или реконструкции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ind w:firstLine="223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е от 28 января 2006 года № 47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Выдача правоустанавливающего документа на жилое помещение, права на которые не зарегистрированы в Едином государственном реестре прав на недвижимое имущество и сделок с ним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Организации, осуществляющие государственный технический учет и (или) техническую инвентаризацию, нотариус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Признание помещения жилым помещением, жилого помещения не пригодным для проживания и многоквартирного дома аварийным и подлежащим сносу или реконструкции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Принятие граждан на учет в качестве нуждающихся в жилых помещениях, предоставляемых по договорам социального найма, </w:t>
            </w:r>
            <w:r>
              <w:rPr>
                <w:sz w:val="24"/>
                <w:szCs w:val="24"/>
                <w:highlight w:val="white"/>
              </w:rPr>
              <w:t xml:space="preserve">на территории  муниципального образования «Тайшетский  муниципальный округ Иркутской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ind w:firstLine="223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е от 28 января 2006 года № 47</w:t>
            </w:r>
            <w:r>
              <w:rPr>
                <w:sz w:val="24"/>
                <w:szCs w:val="24"/>
                <w:highlight w:val="white"/>
              </w:rPr>
              <w:t xml:space="preserve">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ind w:firstLine="223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Закон Иркутской области от 17 декабря 2008 года № 127-оз </w:t>
            </w:r>
            <w:r>
              <w:rPr>
                <w:sz w:val="24"/>
                <w:szCs w:val="24"/>
                <w:highlight w:val="white"/>
              </w:rPr>
              <w:t xml:space="preserve">«</w:t>
            </w:r>
            <w:r>
              <w:rPr>
                <w:sz w:val="24"/>
                <w:szCs w:val="24"/>
                <w:highlight w:val="white"/>
              </w:rPr>
              <w:t xml:space="preserve">О порядке ведения органами местного самоуправления муниципальных о</w:t>
            </w:r>
            <w:r>
              <w:rPr>
                <w:sz w:val="24"/>
                <w:szCs w:val="24"/>
                <w:highlight w:val="white"/>
              </w:rPr>
              <w:t xml:space="preserve">бразований Иркутской области учета граждан в качестве нуждающихся в жилых помещениях, предоставляемых по договорам социального найма, и отдельных вопросах определения общей площади жилого помещения, предоставляемого гражданину по договору социального найма</w:t>
            </w:r>
            <w:r>
              <w:rPr>
                <w:sz w:val="24"/>
                <w:szCs w:val="24"/>
                <w:highlight w:val="white"/>
              </w:rPr>
              <w:t xml:space="preserve">» (далее – Закон от 17 декабря 2008 года № 127-оз)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5"/>
        </w:trPr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1.5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 Выдача справки о (наличии) отсутствии одной из тяжелых форм хронических заболеваний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Медицинская организация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Безвозмездно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Выдача согласия на обмен  жилыми помещениями предоставленными по договорам социального найма.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25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Принятие граждан на учет в качестве нуждающихся в жилых помещениях, предоставляемых по договорам социального найма, </w:t>
            </w:r>
            <w:r>
              <w:rPr>
                <w:sz w:val="24"/>
                <w:szCs w:val="24"/>
                <w:highlight w:val="white"/>
              </w:rPr>
              <w:t xml:space="preserve">на территории  муниципального образования «Тайшетский  муниципальный округ Иркутской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ind w:firstLine="223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Жилищный кодекс Российской Федерации;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ind w:firstLine="223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Закон от 17 декабря 2008 года № 127-оз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справки о наличии либо отсутствии в собственности гражданина заявителя и членов его семьи жилых помещений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Организации, осуществляющие государственный технический учет и (или) техническую инвентаризацию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48"/>
              <w:ind w:firstLine="0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</w:t>
            </w:r>
            <w:r>
              <w:rPr>
                <w:sz w:val="24"/>
                <w:szCs w:val="24"/>
                <w:highlight w:val="white"/>
              </w:rPr>
              <w:t xml:space="preserve"> Принятие граждан на учет в качестве нуждающихся в жилых помещениях, предоставляемых по договорам социального найма, </w:t>
            </w:r>
            <w:r>
              <w:rPr>
                <w:sz w:val="24"/>
                <w:szCs w:val="24"/>
                <w:highlight w:val="white"/>
              </w:rPr>
              <w:t xml:space="preserve">на территории  муниципального образования «Тайшетский  муниципальный округ Иркутской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ind w:firstLine="0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</w:t>
            </w:r>
            <w:r>
              <w:rPr>
                <w:sz w:val="24"/>
                <w:szCs w:val="24"/>
                <w:highlight w:val="white"/>
              </w:rPr>
              <w:t xml:space="preserve">Закон от 17 декабря 2008 года № 127-оз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</w:t>
            </w:r>
            <w:r>
              <w:rPr>
                <w:sz w:val="24"/>
                <w:szCs w:val="24"/>
                <w:highlight w:val="white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документа (справки), подтверждающих наличие (отсутствие) транспортного средства в собственности гражданина-заявителя или членов его семьи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Юридические лица, имеющие право заниматься данным видом деятельности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Безвозмездно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Принятие граждан на учет в качестве нуждающихся в жилых помещениях, предоставляемых по договорам социального найма, </w:t>
            </w:r>
            <w:r>
              <w:rPr>
                <w:sz w:val="24"/>
                <w:szCs w:val="24"/>
                <w:highlight w:val="white"/>
              </w:rPr>
              <w:t xml:space="preserve">на территории  муниципального образования «Тайшетский  муниципальный округ Иркутской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ind w:firstLine="223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Закон от 17 декабря 2008 года № 127-оз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1.8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Отказ от приватизации членов семьи (при наличии)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Юридические лица, имеющие право заниматься данным видом деятельности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Передача  в собственность граждан занимаемых ими жилых помещений   муниципального жилищного фонда  в порядке приватизации </w:t>
            </w:r>
            <w:r>
              <w:rPr>
                <w:sz w:val="24"/>
                <w:szCs w:val="24"/>
                <w:highlight w:val="white"/>
              </w:rPr>
              <w:t xml:space="preserve">на территории  муниципального образования «Тайшетский  муниципальный округ Иркутской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ind w:firstLine="223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Закон Российской Федерации от 4  июля 1991 года № 1541-1 </w:t>
            </w:r>
            <w:r>
              <w:rPr>
                <w:sz w:val="24"/>
                <w:szCs w:val="24"/>
                <w:highlight w:val="white"/>
              </w:rPr>
              <w:t xml:space="preserve">«</w:t>
            </w:r>
            <w:r>
              <w:rPr>
                <w:sz w:val="24"/>
                <w:szCs w:val="24"/>
                <w:highlight w:val="white"/>
              </w:rPr>
              <w:t xml:space="preserve">О приватизации жилищного фонда в Российской Федерации</w:t>
            </w:r>
            <w:r>
              <w:rPr>
                <w:sz w:val="24"/>
                <w:szCs w:val="24"/>
                <w:highlight w:val="white"/>
              </w:rPr>
              <w:t xml:space="preserve">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ind w:firstLine="223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19"/>
        </w:trPr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1.9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Получение разрешения о передаче в собственность жилых помещений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Юридические лица, имеющие право заниматься данным видом деятельности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Безвозмездно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Передача  в собственность граждан занимаемых ими жилых помещений   муниципального жилищного фонда  в порядке приватизации </w:t>
            </w:r>
            <w:r>
              <w:rPr>
                <w:sz w:val="24"/>
                <w:szCs w:val="24"/>
                <w:highlight w:val="white"/>
              </w:rPr>
              <w:t xml:space="preserve">на территории  муниципального образования «Тайшетский  муниципальный округ Иркутской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ind w:firstLine="223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Закон Российской Федерации от 4 июля 1991 года № 1541-1 </w:t>
            </w:r>
            <w:r>
              <w:rPr>
                <w:sz w:val="24"/>
                <w:szCs w:val="24"/>
                <w:highlight w:val="white"/>
              </w:rPr>
              <w:t xml:space="preserve">«</w:t>
            </w:r>
            <w:r>
              <w:rPr>
                <w:sz w:val="24"/>
                <w:szCs w:val="24"/>
                <w:highlight w:val="white"/>
              </w:rPr>
              <w:t xml:space="preserve">О приватизации жилищного фонда в Российской Федерации</w:t>
            </w:r>
            <w:r>
              <w:rPr>
                <w:sz w:val="24"/>
                <w:szCs w:val="24"/>
                <w:highlight w:val="white"/>
              </w:rPr>
              <w:t xml:space="preserve">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ind w:firstLine="223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7"/>
            <w:tcW w:w="15749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2. В сфере градостроительной деятельности и земельных правоотношений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36"/>
        </w:trPr>
        <w:tc>
          <w:tcPr>
            <w:tcBorders>
              <w:bottom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Предварительное согласование предоставления земельного участка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Организации, выполняющие кадастровые работы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 xml:space="preserve"> Утверждение схемы расположения земельного участка находящегося в муниципальной собственности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пункт 9 статьи 11.10 Земельного кодекса Российской Федерации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4"/>
        </w:trPr>
        <w:tc>
          <w:tcPr>
            <w:tcBorders>
              <w:bottom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2.2.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Схема расположения земельн</w:t>
            </w:r>
            <w:r>
              <w:rPr>
                <w:sz w:val="24"/>
                <w:szCs w:val="24"/>
                <w:highlight w:val="white"/>
              </w:rPr>
              <w:t xml:space="preserve">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1.1 статьи 57.3 Градостроительного Кодекса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Организации, выполняющие кадастровые работы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</w:t>
            </w:r>
            <w:r>
              <w:rPr>
                <w:sz w:val="24"/>
                <w:szCs w:val="24"/>
                <w:highlight w:val="white"/>
              </w:rPr>
              <w:t xml:space="preserve">Утверждение схемы расположения земельного участка находящегося в муниципальной собственности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</w:t>
            </w:r>
            <w:r>
              <w:rPr>
                <w:sz w:val="24"/>
                <w:szCs w:val="24"/>
                <w:highlight w:val="white"/>
              </w:rPr>
              <w:t xml:space="preserve">ункт 9 статьи 11.10 Земельного кодекса Российской Федерации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>
          <w:trHeight w:val="1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2.3.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Проект переустройства и (или) перепланировки переустраиваемого и (или) перепланируемого жилого (нежилого)  помещения в многоквартирном доме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Юридические или физические лица, имеющие право оказания услуги в соответствии с действующим законодательством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Согласование проведения переустройства и (или) перепланировки жилого (нежилого) помещения, в многоквартирном доме расположенного на территории  муниципального образования «Тайшетский  муниципальный округ Иркутской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статья 26  Жилищного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2.4.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Технический паспорт переустраиваемого и (или) перепланируемого жилого (нежилого) помещения в многоквартирном доме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Организации, выполняющие кадастровые работы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 xml:space="preserve">Согласование проведения переустройства и (или) перепланировки жилого (нежилого) помещения, в многоквартирном доме расположенного на территории  муниципального образования «Тайшетский  муниципальный округ Иркутской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</w:t>
            </w:r>
            <w:r>
              <w:rPr>
                <w:sz w:val="24"/>
                <w:szCs w:val="24"/>
                <w:highlight w:val="white"/>
              </w:rPr>
              <w:t xml:space="preserve">татья 26  Жилищного кодекса Российской Федерации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2.5.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Технический план объекта капитального строительства, подготовленный в соответствии с Федеральным законом от 13 июля 2015 года №218-ФЗ «О государственной регистрации недвижимости»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Организации, выполняющие кадастровые работы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Согласование проведения переустройства и (или) перепланировки жилого (нежилого) помещения, расположенного </w:t>
            </w:r>
            <w:r>
              <w:rPr>
                <w:sz w:val="24"/>
                <w:szCs w:val="24"/>
                <w:highlight w:val="white"/>
              </w:rPr>
              <w:t xml:space="preserve">на территории  муниципального образования «Тайшетский  муниципальный округ Иркутской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</w:t>
            </w:r>
            <w:r>
              <w:rPr>
                <w:sz w:val="24"/>
                <w:szCs w:val="24"/>
                <w:highlight w:val="white"/>
              </w:rPr>
              <w:t xml:space="preserve">татья 26  Жилищного кодекса Российской Федерации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Федеральный закон от 13 июля 2015 года № 218-ФЗ «О государственной регистрации недвижимости»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2.6.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Юридические или физические лица, имеющие право оказания услуги в соответствии с действующим законодательством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</w:t>
            </w:r>
            <w:r>
              <w:rPr>
                <w:sz w:val="24"/>
                <w:szCs w:val="24"/>
                <w:highlight w:val="white"/>
              </w:rPr>
              <w:t xml:space="preserve">Перевод жилого помещения в нежилое помещение и нежилого помещения в жилое помещение, находящегося </w:t>
            </w:r>
            <w:r>
              <w:rPr>
                <w:sz w:val="24"/>
                <w:szCs w:val="24"/>
                <w:highlight w:val="white"/>
              </w:rPr>
              <w:t xml:space="preserve">на территории  муниципального образования «Тайшетский  муниципальный округ Иркутской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статья 23 Жилищного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2.7.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План переводимого помещения с его техническим описанием (в случае, если переводимое помещение является жилым, технический паспорт такого помещения)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Организации, выполняющие кадастровые работы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Пе</w:t>
            </w:r>
            <w:r>
              <w:rPr>
                <w:sz w:val="24"/>
                <w:szCs w:val="24"/>
                <w:highlight w:val="white"/>
              </w:rPr>
              <w:t xml:space="preserve">ревод жилого помещения в нежилое помещение и нежилого помещения в жилое помещение, находящегося </w:t>
            </w:r>
            <w:r>
              <w:rPr>
                <w:sz w:val="24"/>
                <w:szCs w:val="24"/>
                <w:highlight w:val="white"/>
              </w:rPr>
              <w:t xml:space="preserve">на территории  муниципального образования «Тайшетский  муниципальный округ Иркутской области</w:t>
            </w:r>
            <w:r>
              <w:rPr>
                <w:sz w:val="24"/>
                <w:szCs w:val="24"/>
                <w:highlight w:val="white"/>
              </w:rPr>
              <w:t xml:space="preserve">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</w:t>
            </w:r>
            <w:r>
              <w:rPr>
                <w:sz w:val="24"/>
                <w:szCs w:val="24"/>
                <w:highlight w:val="white"/>
              </w:rPr>
              <w:t xml:space="preserve">татья 23 Жилищного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>
          <w:trHeight w:val="19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2.8.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Поэтажный план дома, в котором находится переводимое помещение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Организации, выполняющие кадастровые работы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</w:t>
            </w:r>
            <w:r>
              <w:rPr>
                <w:sz w:val="24"/>
                <w:szCs w:val="24"/>
                <w:highlight w:val="white"/>
              </w:rPr>
              <w:t xml:space="preserve">еревод жилого помещения в нежилое помещение и нежилого помещения в жилое помещение, находящегося </w:t>
            </w:r>
            <w:r>
              <w:rPr>
                <w:sz w:val="24"/>
                <w:szCs w:val="24"/>
                <w:highlight w:val="white"/>
              </w:rPr>
              <w:t xml:space="preserve">на территории  муниципального образования «Тайшетский  муниципальный округ Иркутской области»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</w:t>
            </w:r>
            <w:r>
              <w:rPr>
                <w:sz w:val="24"/>
                <w:szCs w:val="24"/>
                <w:highlight w:val="white"/>
              </w:rPr>
              <w:t xml:space="preserve">татья 23 Жилищного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Соглашение об установлении сервитута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Физические или юридические лица, заинтересованные в установлении сервитута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разрешения на строительство объекта капитального строительства 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HYPERLINK "consultantplus://offline/ref=979E151C2C1031AD84DD763401D2DB9CDCF7D135E2E549A7E085117A2557A8DB0C8ABB935344E14AP4BAH" </w:instrText>
            </w:r>
            <w:r>
              <w:rPr>
                <w:sz w:val="24"/>
                <w:szCs w:val="24"/>
                <w:highlight w:val="white"/>
              </w:rPr>
              <w:fldChar w:fldCharType="separate"/>
              <w:t xml:space="preserve">   г</w:t>
            </w:r>
            <w:r>
              <w:rPr>
                <w:sz w:val="24"/>
                <w:szCs w:val="24"/>
                <w:highlight w:val="white"/>
              </w:rPr>
              <w:t xml:space="preserve">лава V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.3 Земельного кодекса Российской Федерации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2.10.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Решение об установлении публичного сервитута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Организация: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являющаяся субъектом естественных монополий;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являющаяся организацией связи;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являющаяся владельцем объекта транспортной инфраструктуры федерального, регионального или местного значения;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являющаяся единым оператором газификации, региональным оператором газификации;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осуществляющая строительство, реконструкцию инженерного сооружения, являющегося линейным объектом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</w:t>
            </w:r>
            <w:r>
              <w:rPr>
                <w:sz w:val="24"/>
                <w:szCs w:val="24"/>
                <w:highlight w:val="white"/>
              </w:rPr>
              <w:t xml:space="preserve"> Выдача разрешения на строительство объекта капитального строительства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HYPERLINK "consultantplus://offline/ref=979E151C2C1031AD84DD763401D2DB9CDCF7D135E2E549A7E085117A2557A8DB0C8ABB935344E14AP4BAH" </w:instrText>
            </w:r>
            <w:r>
              <w:rPr>
                <w:sz w:val="24"/>
                <w:szCs w:val="24"/>
                <w:highlight w:val="white"/>
              </w:rPr>
              <w:fldChar w:fldCharType="separate"/>
              <w:t xml:space="preserve">    г</w:t>
            </w:r>
            <w:r>
              <w:rPr>
                <w:sz w:val="24"/>
                <w:szCs w:val="24"/>
                <w:highlight w:val="white"/>
              </w:rPr>
              <w:t xml:space="preserve">лава V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.7 Земельного кодекса Российской Федерации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Результаты инженерных изысканий и материалы проектной документации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Юридические или физические лица, имеющие право оказания услуги в соответствии с действующим законодательством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</w:t>
            </w:r>
            <w:r>
              <w:rPr>
                <w:sz w:val="24"/>
                <w:szCs w:val="24"/>
                <w:highlight w:val="white"/>
              </w:rPr>
              <w:t xml:space="preserve"> Выдача разрешения на строительство объекта капитального строительства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статья 51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Статьи 420, 421,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HYPERLINK "consultantplus://offline/ref=A4B585ED8D210A0CC34DA85992EDE8EBA3B61717853F79794973463383E0316C6586D29E2362FB5AH3d6G"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424</w:t>
            </w:r>
            <w:r>
              <w:rPr>
                <w:sz w:val="24"/>
                <w:szCs w:val="24"/>
                <w:highlight w:val="white"/>
              </w:rPr>
              <w:fldChar w:fldCharType="end"/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Гражданского 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2.12.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Положительное заключение экспертизы проектной документации (за исключением случаев, установленных ст. 49 Градостроительного кодекса Российской Федерации)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Юридические или физические лица, имеющие право оказания услуги в соответствии с действующим законодательством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 xml:space="preserve"> Выдача разрешения на строительство объекта капитального строительства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</w:t>
            </w:r>
            <w:r>
              <w:rPr>
                <w:sz w:val="24"/>
                <w:szCs w:val="24"/>
                <w:highlight w:val="white"/>
              </w:rPr>
              <w:t xml:space="preserve">татья 51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Раздел  8 постановления Правительства Российской Федерации от 5 марта 2007 года № 145 «О порядке организации  и проведения государственной экспертизы проектной документации и результатов инженерных изысканий»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Подтверждение соответствия вносимых в проектную документацию изменений требованиям, указанным в части 3.8 статьи 49 Градостроительного Кодекса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Юридические или физические лица, имеющие право оказания услуги в соответствии с действующим законодательством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</w:t>
            </w:r>
            <w:r>
              <w:rPr>
                <w:sz w:val="24"/>
                <w:szCs w:val="24"/>
                <w:highlight w:val="white"/>
              </w:rPr>
              <w:t xml:space="preserve"> Выдача разрешения на строительство объекта капитального строительства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с</w:t>
            </w:r>
            <w:r>
              <w:rPr>
                <w:sz w:val="24"/>
                <w:szCs w:val="24"/>
                <w:highlight w:val="white"/>
              </w:rPr>
              <w:t xml:space="preserve">татья 51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2.14.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Подтверждение соответствия вносимых в проектную документацию изменений требованиям, указанным в части 3.9 статьи 49 Градостроительного Кодекса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Юридические или физические лица, имеющие право оказания услуги в соответствии с действующим законодательством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</w:t>
            </w:r>
            <w:r>
              <w:rPr>
                <w:sz w:val="24"/>
                <w:szCs w:val="24"/>
                <w:highlight w:val="white"/>
              </w:rPr>
              <w:t xml:space="preserve"> Выдача разрешения на строительство объекта капитального строительства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с</w:t>
            </w:r>
            <w:r>
              <w:rPr>
                <w:sz w:val="24"/>
                <w:szCs w:val="24"/>
                <w:highlight w:val="white"/>
              </w:rPr>
              <w:t xml:space="preserve">татья 51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2.15.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Разрешение на отклонение от предельных параметров разрешенного строительства, реконструкции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Уполномоченная организация органа местного самоуправления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Бе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в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м</w:t>
            </w:r>
            <w:r>
              <w:rPr>
                <w:sz w:val="24"/>
                <w:szCs w:val="24"/>
                <w:highlight w:val="white"/>
              </w:rPr>
              <w:t xml:space="preserve">е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н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 xml:space="preserve"> Выдача разрешения на строительство объекта капитального строительства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с</w:t>
            </w:r>
            <w:r>
              <w:rPr>
                <w:sz w:val="24"/>
                <w:szCs w:val="24"/>
                <w:highlight w:val="white"/>
              </w:rPr>
              <w:t xml:space="preserve">татья 51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Согласование архитектурно-градостроительного облика объекта капитального строительства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Уполномоченная организация органа местного самоуправления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Бе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в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м</w:t>
            </w:r>
            <w:r>
              <w:rPr>
                <w:sz w:val="24"/>
                <w:szCs w:val="24"/>
                <w:highlight w:val="white"/>
              </w:rPr>
              <w:t xml:space="preserve">е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н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 xml:space="preserve"> Выдача разрешения на строительство объекта капитального строительства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</w:t>
            </w:r>
            <w:r>
              <w:rPr>
                <w:sz w:val="24"/>
                <w:szCs w:val="24"/>
                <w:highlight w:val="white"/>
              </w:rPr>
              <w:t xml:space="preserve">татья 51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Решение об установлении или изменении </w:t>
            </w:r>
            <w:r>
              <w:rPr>
                <w:sz w:val="24"/>
                <w:szCs w:val="24"/>
                <w:highlight w:val="white"/>
              </w:rPr>
              <w:t xml:space="preserve">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Уполномоченная организация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 xml:space="preserve"> Выдача разрешения на строительство объекта капитального строительства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с</w:t>
            </w:r>
            <w:r>
              <w:rPr>
                <w:sz w:val="24"/>
                <w:szCs w:val="24"/>
                <w:highlight w:val="white"/>
              </w:rPr>
              <w:t xml:space="preserve">татья 51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2.18.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Дог</w:t>
            </w:r>
            <w:r>
              <w:rPr>
                <w:sz w:val="24"/>
                <w:szCs w:val="24"/>
                <w:highlight w:val="white"/>
              </w:rPr>
              <w:t xml:space="preserve">овор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Уполномоченная организация органа местного самоуправления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Бе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в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м</w:t>
            </w:r>
            <w:r>
              <w:rPr>
                <w:sz w:val="24"/>
                <w:szCs w:val="24"/>
                <w:highlight w:val="white"/>
              </w:rPr>
              <w:t xml:space="preserve">е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н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 xml:space="preserve"> Выдача разрешения на строительство объекта капитального строительства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</w:t>
            </w:r>
            <w:r>
              <w:rPr>
                <w:sz w:val="24"/>
                <w:szCs w:val="24"/>
                <w:highlight w:val="white"/>
              </w:rPr>
              <w:t xml:space="preserve">татья 51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Акт о подключении (техно</w:t>
            </w:r>
            <w:r>
              <w:rPr>
                <w:sz w:val="24"/>
                <w:szCs w:val="24"/>
                <w:highlight w:val="white"/>
              </w:rPr>
              <w:t xml:space="preserve">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Уполномоченная организация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Выдача разрешения на ввод объекта в эксплуатацию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</w:t>
            </w:r>
            <w:r>
              <w:rPr>
                <w:sz w:val="24"/>
                <w:szCs w:val="24"/>
                <w:highlight w:val="white"/>
              </w:rPr>
              <w:t xml:space="preserve">татья 55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2.20.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Юридические или физические лица, имеющие право оказания услуги в соответствии с действующим законодательством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Выдача разрешения на ввод объекта в эксплуатацию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с</w:t>
            </w:r>
            <w:r>
              <w:rPr>
                <w:sz w:val="24"/>
                <w:szCs w:val="24"/>
                <w:highlight w:val="white"/>
              </w:rPr>
              <w:t xml:space="preserve">татья 55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2.21.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Заключение органа государственн</w:t>
            </w:r>
            <w:r>
              <w:rPr>
                <w:sz w:val="24"/>
                <w:szCs w:val="24"/>
                <w:highlight w:val="white"/>
              </w:rPr>
              <w:t xml:space="preserve">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Кодекса) о соответствии построенного, реконструированного объекта капитального строительства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Орган государственного строительного надзора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Бе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в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м</w:t>
            </w:r>
            <w:r>
              <w:rPr>
                <w:sz w:val="24"/>
                <w:szCs w:val="24"/>
                <w:highlight w:val="white"/>
              </w:rPr>
              <w:t xml:space="preserve">е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н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Выдача разрешения на ввод объекта в эксплуатацию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</w:t>
            </w:r>
            <w:r>
              <w:rPr>
                <w:sz w:val="24"/>
                <w:szCs w:val="24"/>
                <w:highlight w:val="white"/>
              </w:rPr>
              <w:t xml:space="preserve">татья 55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2.22.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Технический план объекта капитального строительства, подготовленный в соответствии с Федеральным законом от 13 июля 2015 года № 218-ФЗ «О государственной регистрации недвижимости»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 Организации, выполняющие кадастровые работы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разрешения на ввод объекта в эксплуатацию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</w:t>
            </w:r>
            <w:r>
              <w:rPr>
                <w:sz w:val="24"/>
                <w:szCs w:val="24"/>
                <w:highlight w:val="white"/>
              </w:rPr>
              <w:t xml:space="preserve">татья 55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Федеральный закон от 13 июля 2015 года № 218-ФЗ «О государственной регистрации недвижимости»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2.23.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 случае, предусмотренном пунктом 2 части 3.6 Градостроительного</w:t>
            </w:r>
            <w:r>
              <w:rPr>
                <w:sz w:val="24"/>
                <w:szCs w:val="24"/>
                <w:highlight w:val="white"/>
              </w:rPr>
              <w:t xml:space="preserve"> кодекса, к заявлению о выдаче разрешения на ввод объекта капитального строительства в эксплуатацию наряду с документами, указанными в части 3 настоящей статьи, прикладываются договор или договоры, заключенные между застройщиком и иным лицом (иными лицами)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Физические и юридические лица, являющиеся застройщиками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Платно/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 Выдача разрешения на ввод объекта в эксплуатацию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</w:t>
            </w:r>
            <w:r>
              <w:rPr>
                <w:sz w:val="24"/>
                <w:szCs w:val="24"/>
                <w:highlight w:val="white"/>
              </w:rPr>
              <w:t xml:space="preserve">татья 55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2.24.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Сведения об оплате государственной пошлины за осуществление государственной регистрации прав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Платежные организации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Выдача разрешения на ввод объекта в эксплуатацию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</w:t>
            </w:r>
            <w:r>
              <w:rPr>
                <w:sz w:val="24"/>
                <w:szCs w:val="24"/>
                <w:highlight w:val="white"/>
              </w:rPr>
              <w:t xml:space="preserve">татья 55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Федеральный закон от 13 июля 2015 года № 218-ФЗ «О государственной регистрации недвижимости»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2.25.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Технический план объекта капитального строительства, подготовленный в соответствии с Федеральным законом от 13 июля 2015 года №218-ФЗ «О государственной регистрации недвижимости»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Организации, выполняющие кадастровые работы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</w:t>
            </w:r>
            <w:r>
              <w:rPr>
                <w:sz w:val="24"/>
                <w:szCs w:val="24"/>
                <w:highlight w:val="white"/>
              </w:rPr>
              <w:t xml:space="preserve">татья 55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2.26.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Сведения об оплате государственной пошлины за осуществление государственной регистрации прав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Платежные организации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Направление уведомления о план</w:t>
            </w:r>
            <w:r>
              <w:rPr>
                <w:sz w:val="24"/>
                <w:szCs w:val="24"/>
                <w:highlight w:val="white"/>
              </w:rPr>
              <w:t xml:space="preserve">ируемом сносе объекта капитального строительства и уведомления о завершении сноса объекта капитального строительства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</w:t>
            </w:r>
            <w:r>
              <w:rPr>
                <w:sz w:val="24"/>
                <w:szCs w:val="24"/>
                <w:highlight w:val="white"/>
              </w:rPr>
              <w:t xml:space="preserve">татья 55 Градостроительного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Федеральный закон от 13 июля 2015 года № 218-ФЗ «О государственной регистрации недвижимости»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2.27.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Проект реконструкции нежилого помещения для признания его в дальнейшем жилым помещением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Физические или юридические лица, осуществляющие архитектурную деятельность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 xml:space="preserve">Признание помещения жилым помещением, жилого помещения не пригодным для проживания и многоквартирного дома аварийным и подлежащим сносу или реконструкции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Жилищн</w:t>
            </w:r>
            <w:r>
              <w:rPr>
                <w:sz w:val="24"/>
                <w:szCs w:val="24"/>
                <w:highlight w:val="white"/>
              </w:rPr>
              <w:t xml:space="preserve">ый кодекс Российской Федерации;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е от 28 января 2006 года № 47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Статьи 420, </w:t>
            </w:r>
            <w:r>
              <w:rPr>
                <w:sz w:val="24"/>
                <w:szCs w:val="24"/>
                <w:highlight w:val="white"/>
              </w:rPr>
              <w:fldChar w:fldCharType="begin"/>
            </w:r>
            <w:r>
              <w:rPr>
                <w:sz w:val="24"/>
                <w:szCs w:val="24"/>
                <w:highlight w:val="white"/>
              </w:rPr>
              <w:instrText xml:space="preserve"> HYPERLINK "consultantplus://offline/ref=A4B585ED8D210A0CC34DA85992EDE8EBA3B61717853F79794973463383E0316C6586D29E2361F252H3dBG" </w:instrText>
            </w:r>
            <w:r>
              <w:rPr>
                <w:sz w:val="24"/>
                <w:szCs w:val="24"/>
                <w:highlight w:val="white"/>
              </w:rPr>
              <w:fldChar w:fldCharType="separate"/>
            </w:r>
            <w:r>
              <w:rPr>
                <w:sz w:val="24"/>
                <w:szCs w:val="24"/>
                <w:highlight w:val="white"/>
              </w:rPr>
              <w:t xml:space="preserve">421</w:t>
            </w:r>
            <w:r>
              <w:rPr>
                <w:sz w:val="24"/>
                <w:szCs w:val="24"/>
                <w:highlight w:val="white"/>
              </w:rPr>
              <w:fldChar w:fldCharType="end"/>
            </w:r>
            <w:r>
              <w:rPr>
                <w:sz w:val="24"/>
                <w:szCs w:val="24"/>
                <w:highlight w:val="white"/>
              </w:rPr>
              <w:t xml:space="preserve">, 424 Г</w:t>
            </w:r>
            <w:r>
              <w:rPr>
                <w:sz w:val="24"/>
                <w:szCs w:val="24"/>
                <w:highlight w:val="white"/>
              </w:rPr>
              <w:t xml:space="preserve">ражданского  кодекса Российской Федерации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2.28.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Договор на установку и эксплуатацию рекламной конструкции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Собственники объекта недвижимости, на которую размещается рекламная конструкция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Выдача разрешения на установку и эксплуатацию рекламных конструкций на  </w:t>
            </w:r>
            <w:r>
              <w:rPr>
                <w:sz w:val="24"/>
                <w:szCs w:val="24"/>
                <w:highlight w:val="white"/>
              </w:rPr>
              <w:t xml:space="preserve">территории  муниципального образования «Тайшетский  муниципальный округ Иркутской области»</w:t>
            </w:r>
            <w:r>
              <w:rPr>
                <w:sz w:val="24"/>
                <w:szCs w:val="24"/>
                <w:highlight w:val="white"/>
              </w:rPr>
              <w:t xml:space="preserve"> аннулирование такого разрешения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 статья 19 Федерального  закона  от 13 марта 2006 года № 38-ФЗ «О рекламе»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4" w:space="0"/>
            <w:insideV w:val="non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2.29.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Проект рекламной конструкции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Индивидуальные предприниматели или юридические лица, которые являются членами саморегулируемой организации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 xml:space="preserve">Выдача разрешения на установку и эксплуатацию рекламных конструкций на  </w:t>
            </w:r>
            <w:r>
              <w:rPr>
                <w:sz w:val="24"/>
                <w:szCs w:val="24"/>
                <w:highlight w:val="white"/>
              </w:rPr>
              <w:t xml:space="preserve">территории  муниципального образования «Тайшетский  муниципальный округ Иркутской области»</w:t>
            </w:r>
            <w:r>
              <w:rPr>
                <w:sz w:val="24"/>
                <w:szCs w:val="24"/>
                <w:highlight w:val="white"/>
              </w:rPr>
              <w:t xml:space="preserve"> аннулирование такого разрешения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 xml:space="preserve"> статья 19 Федерального  закона  от 13 марта 2006 года № 38-ФЗ «О рекламе»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48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7"/>
            <w:tcW w:w="15749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В сфере образования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Медицинское обследование, выдача медицинского заключения (медицинской справки о состоянии здоровья)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Медицинская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Безвозмездно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 заявлений, постановка на учет и зачисление детей на обучение в муниципальные дошкольные образовательные учреждения, реализующие образовательные программы дошкольного образования (детские сады).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отдыха детей в каникулярное время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Запись на обучение по дополнительной обще- образовательной программе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ind w:firstLine="365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</w:t>
            </w:r>
            <w:r>
              <w:rPr>
                <w:sz w:val="24"/>
                <w:szCs w:val="24"/>
              </w:rPr>
              <w:t xml:space="preserve"> 29 декабря 2012 года  № 273-ФЗ</w:t>
            </w:r>
            <w:r>
              <w:rPr>
                <w:sz w:val="24"/>
                <w:szCs w:val="24"/>
              </w:rPr>
              <w:t xml:space="preserve"> «Об образовании в Российской Федерации»;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48"/>
              <w:ind w:firstLine="365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Министерства образования и науки Российской Федерации от 8 апреля 2014 года  </w:t>
              <w:br w:type="textWrapping" w:clear="all"/>
              <w:t xml:space="preserve">№ 293 «Об утверждении порядка приема граждан на обучение по образовательным программам начального общего, основного общего и среднего общего образования»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Выдача свидетельства о регистрации ребенка по месту жительства или по месту пребывания на закрепленной территории или документа, содержащего сведения о регистрации ребенка по месту жительства или по месту пребывания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Специализированные организации, осуществляющие учет граждан по месту жительства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Безвозмездно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 заявлений о зачислении, постановка на учет и зачисление детей в муниципальные обще-образовательные учреждения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ind w:firstLine="365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</w:t>
            </w:r>
            <w:r>
              <w:rPr>
                <w:sz w:val="24"/>
                <w:szCs w:val="24"/>
              </w:rPr>
              <w:t xml:space="preserve"> 29 декабря 2012 года  № 273-ФЗ</w:t>
            </w:r>
            <w:r>
              <w:rPr>
                <w:sz w:val="24"/>
                <w:szCs w:val="24"/>
              </w:rPr>
              <w:t xml:space="preserve"> «Об образовании в Российской Федерации»;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48"/>
              <w:ind w:firstLine="365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Министерства образования и науки Российской Федерации от 8 апреля 2014 года  </w:t>
              <w:br/>
              <w:t xml:space="preserve">№ 293 «Об утверждении порядка приема граждан на обучение по образовательным программам начального общего, основного общего и среднего общего образования»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48"/>
              <w:ind w:firstLine="365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7"/>
            <w:tcW w:w="15749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В социальной сфере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Выдача справки о беременности или рождении ребенка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Медицинская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Безвозмездно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48"/>
              <w:ind w:firstLine="39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Выдача разрешений на вступление в брак несовершеннолетним, достигшим возраста 16 лет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ind w:firstLine="223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Семейный кодекс Российской </w:t>
            </w:r>
            <w:r>
              <w:rPr>
                <w:sz w:val="24"/>
                <w:szCs w:val="24"/>
              </w:rPr>
              <w:t xml:space="preserve"> Федерации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23"/>
              <w:jc w:val="both"/>
              <w:widowControl w:val="off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white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остановление Администрации Тайшетского муниципального округа </w:t>
            </w:r>
            <w:r>
              <w:rPr>
                <w:sz w:val="24"/>
                <w:szCs w:val="24"/>
                <w:highlight w:val="white"/>
              </w:rPr>
              <w:t xml:space="preserve"> от 16 марта 2026 год</w:t>
            </w:r>
            <w:r>
              <w:rPr>
                <w:sz w:val="24"/>
                <w:szCs w:val="24"/>
                <w:highlight w:val="white"/>
              </w:rPr>
              <w:t xml:space="preserve">а № 341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«Об утверждении Административного регламента предос</w:t>
            </w:r>
            <w:r>
              <w:rPr>
                <w:sz w:val="24"/>
                <w:szCs w:val="24"/>
                <w:highlight w:val="white"/>
              </w:rPr>
              <w:t xml:space="preserve">тавления муниципальной услуги «Выдача разрешения на вступление в брак несовершеннолетнему лицу, достигшему  возраста шестнадцати лет»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7"/>
            <w:tcW w:w="15749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В сфере молодежной политики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965"/>
        </w:trPr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Выдача выписки из счета банка или иной кредитной организации о наличии денежных средств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Специализированные организации, осуществляющие учет граждан по месту жительства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Безвозмездно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ind w:firstLine="0"/>
              <w:jc w:val="both"/>
              <w:widowControl w:val="off"/>
              <w:rPr>
                <w:rFonts w:eastAsia="Calibri"/>
                <w:sz w:val="24"/>
                <w:szCs w:val="24"/>
                <w:highlight w:val="white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  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Государственная программа Российской Федерации «Обеспечение доступным и комфортным жильем и коммунальными услугами граждан Российской Федер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ации», утвержденная постановлением Правительства Российской Федерации от 30 декабря 2017 года № 1710-пп;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</w:r>
          </w:p>
          <w:p>
            <w:pPr>
              <w:ind w:firstLine="0"/>
              <w:jc w:val="both"/>
              <w:widowControl w:val="off"/>
              <w:rPr>
                <w:rFonts w:eastAsia="Calibri"/>
                <w:sz w:val="24"/>
                <w:szCs w:val="24"/>
                <w:highlight w:val="none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  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Государственная программа Иркутской области «Доступное жилье», утвержденная постановлением Правительства Иркутской области от 13 ноября 2023 года № 1008-пп;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            п</w:t>
            </w:r>
            <w:r>
              <w:rPr>
                <w:sz w:val="24"/>
                <w:szCs w:val="24"/>
                <w:highlight w:val="white"/>
              </w:rPr>
              <w:t xml:space="preserve">остановление Администрации Тайшетского муниципального округа </w:t>
            </w:r>
            <w:r>
              <w:rPr>
                <w:sz w:val="24"/>
                <w:szCs w:val="24"/>
                <w:highlight w:val="white"/>
              </w:rPr>
              <w:t xml:space="preserve"> от 7 ноября 2025 года № 101 (в редакции постановлений Администрации Тайшетского муниципального округа от 21 ноября 2025 года № 158, от 12 февраля 2026 года № 152)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«Об утверждении муниципальной программы «Доступное жильё» на 2026-2031 годы»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;</w:t>
            </w: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</w: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</w:r>
          </w:p>
          <w:p>
            <w:pPr>
              <w:ind w:firstLine="0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</w:r>
            <w:r>
              <w:rPr>
                <w:sz w:val="24"/>
                <w:szCs w:val="24"/>
                <w:highlight w:val="white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остановление Администрации Тайшетского муниципального округа </w:t>
            </w:r>
            <w:r>
              <w:rPr>
                <w:sz w:val="24"/>
                <w:szCs w:val="24"/>
                <w:highlight w:val="white"/>
              </w:rPr>
              <w:t xml:space="preserve"> от 1 апреля 2026 года № 451 «Об утверждении Административного регла</w:t>
            </w:r>
            <w:r>
              <w:rPr>
                <w:sz w:val="24"/>
                <w:szCs w:val="24"/>
                <w:highlight w:val="white"/>
              </w:rPr>
              <w:t xml:space="preserve">мента предоставления муниципальной услуги «Постановка молодых семей на очередь по муниципальному проекту «Молодым семьям – доступное жилье» муниц</w:t>
            </w:r>
            <w:r>
              <w:rPr>
                <w:sz w:val="24"/>
                <w:szCs w:val="24"/>
                <w:highlight w:val="white"/>
              </w:rPr>
              <w:t xml:space="preserve">ипальной программы «Доступное жилье» и предоставление социальных в</w:t>
            </w:r>
            <w:r>
              <w:rPr>
                <w:sz w:val="24"/>
                <w:szCs w:val="24"/>
                <w:highlight w:val="white"/>
              </w:rPr>
              <w:t xml:space="preserve">ыплат на приобретение (строительство) жилья»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6"/>
        </w:trPr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Выдача отчета об оценке объекта недвижимого имущества, находящегося в собственности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Организации, оказывающие услуги заявителю в соответствующих сферах деятельности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ind w:firstLine="0"/>
              <w:jc w:val="both"/>
              <w:widowControl w:val="off"/>
              <w:rPr>
                <w:rFonts w:eastAsia="Calibri"/>
                <w:sz w:val="24"/>
                <w:szCs w:val="24"/>
                <w:highlight w:val="white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Федеральный закон от 29 июля 1998 года № 135-ФЗ «Об оценочной деятельности в Российской Федерац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ии»; 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Государственная программа Российской Федерации «Обеспечение доступным и комфортным жильем и коммунальными услугами граждан Российской Федер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ации», утвержденная постановлением Правительства Российской Федерации от 30 декабря 2017 года № 1710-пп; 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</w:r>
          </w:p>
          <w:p>
            <w:pPr>
              <w:ind w:firstLine="0"/>
              <w:jc w:val="both"/>
              <w:widowControl w:val="off"/>
              <w:rPr>
                <w:rFonts w:eastAsia="Calibri"/>
                <w:sz w:val="24"/>
                <w:szCs w:val="24"/>
                <w:highlight w:val="none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Государственная программа Иркутской области «Доступное жилье», утвержденная постановлением Правительства Иркутской области от 13 ноября 2023 года № 1008-пп;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п</w:t>
            </w:r>
            <w:r>
              <w:rPr>
                <w:sz w:val="24"/>
                <w:szCs w:val="24"/>
                <w:highlight w:val="white"/>
              </w:rPr>
              <w:t xml:space="preserve">остановление Администрации Тайшетского муниципального округа </w:t>
            </w:r>
            <w:r>
              <w:rPr>
                <w:sz w:val="24"/>
                <w:szCs w:val="24"/>
                <w:highlight w:val="white"/>
              </w:rPr>
              <w:t xml:space="preserve"> от 7 ноября 2025 года № 101 (в редакции постановлений Администрации Тайшетского муниципального округа от 21 ноября 2025 года № 158,  от 12 февраля 2026 года № 152)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«Об утверждении муниципальной программы «Доступное жильё» на 2026-2031 годы»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;</w:t>
            </w: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</w: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</w:r>
          </w:p>
          <w:p>
            <w:pPr>
              <w:ind w:firstLine="0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</w:r>
            <w:r>
              <w:rPr>
                <w:sz w:val="24"/>
                <w:szCs w:val="24"/>
                <w:highlight w:val="white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остановление Администрации Тайшетского муниципального округа </w:t>
            </w:r>
            <w:r>
              <w:rPr>
                <w:sz w:val="24"/>
                <w:szCs w:val="24"/>
                <w:highlight w:val="white"/>
              </w:rPr>
              <w:t xml:space="preserve"> от 1 апреля 2026 года № 451 «Об утверждении Административного регла</w:t>
            </w:r>
            <w:r>
              <w:rPr>
                <w:sz w:val="24"/>
                <w:szCs w:val="24"/>
                <w:highlight w:val="white"/>
              </w:rPr>
              <w:t xml:space="preserve">мента предоставления муниципальной услуги «Постановка молодых семей на очередь по муниципальному проекту «Молодым семьям – доступное жилье» муниципальной программы «Доступное жилье» и предоставление социальных выплат на приобретение (строительство) ж</w:t>
            </w:r>
            <w:r>
              <w:rPr>
                <w:sz w:val="24"/>
                <w:szCs w:val="24"/>
                <w:highlight w:val="white"/>
              </w:rPr>
              <w:t xml:space="preserve">и</w:t>
            </w:r>
            <w:r>
              <w:rPr>
                <w:sz w:val="24"/>
                <w:szCs w:val="24"/>
                <w:highlight w:val="white"/>
              </w:rPr>
              <w:t xml:space="preserve">лья»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40"/>
        </w:trPr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Выдача документа о возможности предоставления членам молодой семьи кредита (займа)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Организации, оказывающие услуги заявителю в соответствующих сферах деятельности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счет средств заявителя, на договорной основе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ind w:firstLine="0"/>
              <w:jc w:val="both"/>
              <w:widowControl w:val="off"/>
              <w:rPr>
                <w:rFonts w:eastAsia="Calibri"/>
                <w:sz w:val="24"/>
                <w:szCs w:val="24"/>
                <w:highlight w:val="white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 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Государственная программа Российской Федерации «Обеспечение доступным и комфортным жильем и коммунальными услугами граждан Российской Федер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ации», утвержденная постановлением Правительства Российской Федерации от 30 декабря 2017 года № 1710-пп; 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</w:r>
          </w:p>
          <w:p>
            <w:pPr>
              <w:ind w:firstLine="0"/>
              <w:jc w:val="both"/>
              <w:widowControl w:val="off"/>
              <w:rPr>
                <w:rFonts w:eastAsia="Calibri"/>
                <w:sz w:val="24"/>
                <w:szCs w:val="24"/>
                <w:highlight w:val="none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Государственная программа Иркутской области «Доступное жилье», утвержденная постановлением Правительства Иркутской области от 13 ноября 2023 года № 1008-пп;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п</w:t>
            </w:r>
            <w:r>
              <w:rPr>
                <w:sz w:val="24"/>
                <w:szCs w:val="24"/>
                <w:highlight w:val="white"/>
              </w:rPr>
              <w:t xml:space="preserve">остановление Администрации Тайшетского муниципального округа </w:t>
            </w:r>
            <w:r>
              <w:rPr>
                <w:sz w:val="24"/>
                <w:szCs w:val="24"/>
                <w:highlight w:val="white"/>
              </w:rPr>
              <w:t xml:space="preserve"> от 7 ноября 2025 года № 101 (в редакции постановлений Администрации Тайшетского муниципального округа от 21 ноября 2025 года № 158, от 12 февраля 2026 года № 152)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«Об утверждении муниципальной программы «Доступное жильё» на 2026-2031 годы»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;</w:t>
            </w: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</w: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</w:r>
          </w:p>
          <w:p>
            <w:pPr>
              <w:ind w:firstLine="0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</w:r>
            <w:r>
              <w:rPr>
                <w:sz w:val="24"/>
                <w:szCs w:val="24"/>
                <w:highlight w:val="white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остановление Администрации Тайшетского муниципального округа </w:t>
            </w:r>
            <w:r>
              <w:rPr>
                <w:sz w:val="24"/>
                <w:szCs w:val="24"/>
                <w:highlight w:val="white"/>
              </w:rPr>
              <w:t xml:space="preserve"> от 1 апреля 2026 года № 451 «Об утверждении Административного регла</w:t>
            </w:r>
            <w:r>
              <w:rPr>
                <w:sz w:val="24"/>
                <w:szCs w:val="24"/>
                <w:highlight w:val="white"/>
              </w:rPr>
              <w:t xml:space="preserve">мента предоставления муниципальной услуги «Постановка молодых семей на очередь по муниципальному проекту «Молодым семьям – доступное жилье» муниципальной программы «Доступное жилье» и предоставление социальных выплат на приобретение (строительство) ж</w:t>
            </w:r>
            <w:r>
              <w:rPr>
                <w:sz w:val="24"/>
                <w:szCs w:val="24"/>
                <w:highlight w:val="white"/>
              </w:rPr>
              <w:t xml:space="preserve">и</w:t>
            </w:r>
            <w:r>
              <w:rPr>
                <w:sz w:val="24"/>
                <w:szCs w:val="24"/>
                <w:highlight w:val="white"/>
              </w:rPr>
              <w:t xml:space="preserve">лья»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Статьи 420,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"consultantplus://offline/ref=A4B585ED8D210A0CC34DA85992EDE8EBA3B61717853F79794973463383E0316C6586D29E2361F252H3dBG"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421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, 424 Г</w:t>
            </w:r>
            <w:r>
              <w:rPr>
                <w:sz w:val="24"/>
                <w:szCs w:val="24"/>
              </w:rPr>
              <w:t xml:space="preserve">ражданского  кодекса Российской Федерации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48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68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Выдача справки кредитора (заимодавца) о сумме остатка основ</w:t>
            </w:r>
            <w:r>
              <w:rPr>
                <w:sz w:val="24"/>
                <w:szCs w:val="24"/>
              </w:rPr>
              <w:t xml:space="preserve">ного долга и сумме задолженности по выплате процентов за пользование ипотечным жилищным кредитом (займом) для получения свидетельства в целях погашения основной суммы долга молодой семьей - претендентом на получение социальной выплаты на приобретение жилья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Кредитная организация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Бе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в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м</w:t>
            </w:r>
            <w:r>
              <w:rPr>
                <w:sz w:val="24"/>
                <w:szCs w:val="24"/>
                <w:highlight w:val="white"/>
              </w:rPr>
              <w:t xml:space="preserve">е</w:t>
            </w:r>
            <w:r>
              <w:rPr>
                <w:sz w:val="24"/>
                <w:szCs w:val="24"/>
                <w:highlight w:val="white"/>
              </w:rPr>
              <w:t xml:space="preserve">з</w:t>
            </w:r>
            <w:r>
              <w:rPr>
                <w:sz w:val="24"/>
                <w:szCs w:val="24"/>
                <w:highlight w:val="whit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н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48"/>
              <w:ind w:firstLine="256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848"/>
              <w:ind w:firstLine="0"/>
              <w:jc w:val="both"/>
              <w:widowControl w:val="off"/>
              <w:rPr>
                <w:rFonts w:eastAsia="Calibri"/>
                <w:sz w:val="24"/>
                <w:szCs w:val="24"/>
                <w:highlight w:val="white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  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Государственная программа Российской Федерации «Обеспечение доступным и комфортным жильем и коммунальными услугами граждан Российской Федер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ации», утвержденная постановлением Правительства Российской Федерации от 30 декабря 2017 года № 1710-пп; 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</w:r>
          </w:p>
          <w:p>
            <w:pPr>
              <w:ind w:firstLine="0"/>
              <w:jc w:val="both"/>
              <w:widowControl w:val="off"/>
              <w:rPr>
                <w:rFonts w:eastAsia="Calibri"/>
                <w:sz w:val="24"/>
                <w:szCs w:val="24"/>
                <w:highlight w:val="none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Государственная программа Иркутской области «Доступное жилье», утвержденная постановлением Правительства Иркутской области от 13 ноября 2023 года № 1008-пп;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 п</w:t>
            </w:r>
            <w:r>
              <w:rPr>
                <w:sz w:val="24"/>
                <w:szCs w:val="24"/>
                <w:highlight w:val="white"/>
              </w:rPr>
              <w:t xml:space="preserve">остановление Администрации Тайшетского муниципального округа </w:t>
            </w:r>
            <w:r>
              <w:rPr>
                <w:sz w:val="24"/>
                <w:szCs w:val="24"/>
                <w:highlight w:val="white"/>
              </w:rPr>
              <w:t xml:space="preserve"> от 7 ноября 2025 года № 101 (в редакции постановлений Администрации Тайшетского муниципального округа от 21 ноября 2025 года № 158,  от 12 февраля 2026 года № 152)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 «Об утверждении муниципальной программы «Доступное жильё» на 2026-2031 годы»</w:t>
            </w:r>
            <w:r>
              <w:rPr>
                <w:rFonts w:eastAsia="Calibri"/>
                <w:sz w:val="24"/>
                <w:szCs w:val="24"/>
                <w:highlight w:val="white"/>
                <w:lang w:eastAsia="en-US"/>
              </w:rPr>
              <w:t xml:space="preserve">;</w:t>
            </w: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</w: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</w:r>
          </w:p>
          <w:p>
            <w:pPr>
              <w:ind w:firstLine="0"/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</w:r>
            <w:r>
              <w:rPr>
                <w:sz w:val="24"/>
                <w:szCs w:val="24"/>
                <w:highlight w:val="white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остановление Администрации Тайшетского муниципального округа </w:t>
            </w:r>
            <w:r>
              <w:rPr>
                <w:sz w:val="24"/>
                <w:szCs w:val="24"/>
                <w:highlight w:val="white"/>
              </w:rPr>
              <w:t xml:space="preserve"> от 1 апреля 2026 года № 451 «Об утверждении Административного регла</w:t>
            </w:r>
            <w:r>
              <w:rPr>
                <w:sz w:val="24"/>
                <w:szCs w:val="24"/>
                <w:highlight w:val="white"/>
              </w:rPr>
              <w:t xml:space="preserve">мента предоставления муниципальной услуги «Постановка молодых семей на очередь по муниципальному проекту «Молодым семьям – доступное жилье» муниципальной программы «Доступное жилье» и предоставление социальных вы</w:t>
            </w:r>
            <w:r>
              <w:rPr>
                <w:sz w:val="24"/>
                <w:szCs w:val="24"/>
                <w:highlight w:val="white"/>
              </w:rPr>
              <w:t xml:space="preserve">плат на приобретение (строительство) жи</w:t>
            </w:r>
            <w:r>
              <w:rPr>
                <w:sz w:val="24"/>
                <w:szCs w:val="24"/>
                <w:highlight w:val="white"/>
              </w:rPr>
              <w:t xml:space="preserve">лья»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Статьи 420,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"consultantplus://offline/ref=A4B585ED8D210A0CC34DA85992EDE8EBA3B61717853F79794973463383E0316C6586D29E2361F252H3dBG"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 xml:space="preserve">421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, 424 Г</w:t>
            </w:r>
            <w:r>
              <w:rPr>
                <w:sz w:val="24"/>
                <w:szCs w:val="24"/>
              </w:rPr>
              <w:t xml:space="preserve">ражданского  кодекса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48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8"/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tbl>
      <w:tblPr>
        <w:tblW w:w="14883" w:type="dxa"/>
        <w:tblInd w:w="534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4883"/>
      </w:tblGrid>
      <w:tr>
        <w:tblPrEx/>
        <w:trPr>
          <w:trHeight w:val="62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883" w:type="dxa"/>
            <w:vAlign w:val="top"/>
            <w:textDirection w:val="lrTb"/>
            <w:noWrap w:val="false"/>
          </w:tcPr>
          <w:p>
            <w:pPr>
              <w:pStyle w:val="8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</w:t>
            </w:r>
            <w:r>
              <w:rPr>
                <w:sz w:val="26"/>
                <w:szCs w:val="26"/>
              </w:rPr>
              <w:t xml:space="preserve">                                </w:t>
            </w:r>
            <w:r>
              <w:rPr>
                <w:sz w:val="26"/>
                <w:szCs w:val="26"/>
              </w:rPr>
              <w:t xml:space="preserve">                           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spacing w:line="260" w:lineRule="exact"/>
        <w:rPr>
          <w:sz w:val="24"/>
          <w:szCs w:val="24"/>
        </w:rPr>
      </w:pPr>
      <w:r>
        <w:rPr>
          <w:sz w:val="24"/>
          <w:szCs w:val="24"/>
        </w:rPr>
        <w:t xml:space="preserve">     Председатель Думы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60" w:lineRule="exact"/>
        <w:rPr>
          <w:sz w:val="24"/>
          <w:szCs w:val="24"/>
        </w:rPr>
      </w:pPr>
      <w:r>
        <w:rPr>
          <w:sz w:val="24"/>
          <w:szCs w:val="24"/>
        </w:rPr>
        <w:t xml:space="preserve">     Тайшетского муниципального округа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</w:t>
      </w:r>
      <w:r>
        <w:rPr>
          <w:sz w:val="24"/>
          <w:szCs w:val="24"/>
        </w:rPr>
        <w:t xml:space="preserve">И.В. Ронжина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60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60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60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60" w:lineRule="exact"/>
        <w:rPr>
          <w:sz w:val="24"/>
          <w:szCs w:val="24"/>
        </w:rPr>
      </w:pPr>
      <w:r>
        <w:rPr>
          <w:sz w:val="24"/>
          <w:szCs w:val="24"/>
        </w:rPr>
        <w:t xml:space="preserve">     Мэр Тайшетского муниципального округа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А.С. Кузин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8"/>
        <w:jc w:val="both"/>
        <w:rPr>
          <w:color w:val="000000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                                                           </w:t>
      </w:r>
      <w:bookmarkStart w:id="0" w:name="_GoBack"/>
      <w:r>
        <w:rPr>
          <w:sz w:val="24"/>
          <w:szCs w:val="24"/>
        </w:rPr>
      </w:r>
      <w:bookmarkEnd w:id="0"/>
      <w:r>
        <w:rPr>
          <w:sz w:val="24"/>
          <w:szCs w:val="24"/>
        </w:rPr>
        <w:t xml:space="preserve">    </w:t>
      </w:r>
      <w:r>
        <w:rPr>
          <w:sz w:val="26"/>
          <w:szCs w:val="26"/>
        </w:rPr>
        <w:t xml:space="preserve"> </w:t>
      </w:r>
      <w:r>
        <w:rPr>
          <w:color w:val="000000"/>
        </w:rPr>
      </w:r>
      <w:r>
        <w:rPr>
          <w:color w:val="000000"/>
        </w:rPr>
      </w:r>
    </w:p>
    <w:sectPr>
      <w:footerReference w:type="default" r:id="rId9"/>
      <w:footnotePr/>
      <w:endnotePr/>
      <w:type w:val="nextPage"/>
      <w:pgSz w:w="16838" w:h="11906" w:orient="landscape"/>
      <w:pgMar w:top="720" w:right="720" w:bottom="720" w:left="72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Verdana">
    <w:panose1 w:val="020B0604030504040204"/>
  </w:font>
  <w:font w:name="Lucida Sans Unicode">
    <w:panose1 w:val="020B050204050402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8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8"/>
    <w:next w:val="848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1">
    <w:name w:val="Heading 1 Char"/>
    <w:link w:val="670"/>
    <w:uiPriority w:val="9"/>
    <w:rPr>
      <w:rFonts w:ascii="Arial" w:hAnsi="Arial" w:eastAsia="Arial" w:cs="Arial"/>
      <w:sz w:val="40"/>
      <w:szCs w:val="40"/>
    </w:rPr>
  </w:style>
  <w:style w:type="paragraph" w:styleId="672">
    <w:name w:val="Heading 2"/>
    <w:basedOn w:val="848"/>
    <w:next w:val="848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3">
    <w:name w:val="Heading 2 Char"/>
    <w:link w:val="672"/>
    <w:uiPriority w:val="9"/>
    <w:rPr>
      <w:rFonts w:ascii="Arial" w:hAnsi="Arial" w:eastAsia="Arial" w:cs="Arial"/>
      <w:sz w:val="34"/>
    </w:rPr>
  </w:style>
  <w:style w:type="paragraph" w:styleId="674">
    <w:name w:val="Heading 3"/>
    <w:basedOn w:val="848"/>
    <w:next w:val="848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5">
    <w:name w:val="Heading 3 Char"/>
    <w:link w:val="674"/>
    <w:uiPriority w:val="9"/>
    <w:rPr>
      <w:rFonts w:ascii="Arial" w:hAnsi="Arial" w:eastAsia="Arial" w:cs="Arial"/>
      <w:sz w:val="30"/>
      <w:szCs w:val="30"/>
    </w:rPr>
  </w:style>
  <w:style w:type="paragraph" w:styleId="676">
    <w:name w:val="Heading 4"/>
    <w:basedOn w:val="848"/>
    <w:next w:val="848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7">
    <w:name w:val="Heading 4 Char"/>
    <w:link w:val="676"/>
    <w:uiPriority w:val="9"/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848"/>
    <w:next w:val="848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9">
    <w:name w:val="Heading 5 Char"/>
    <w:link w:val="678"/>
    <w:uiPriority w:val="9"/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848"/>
    <w:next w:val="848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1">
    <w:name w:val="Heading 6 Char"/>
    <w:link w:val="680"/>
    <w:uiPriority w:val="9"/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848"/>
    <w:next w:val="848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3">
    <w:name w:val="Heading 7 Char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848"/>
    <w:next w:val="848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5">
    <w:name w:val="Heading 8 Char"/>
    <w:link w:val="684"/>
    <w:uiPriority w:val="9"/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848"/>
    <w:next w:val="848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>
    <w:name w:val="Heading 9 Char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List Paragraph"/>
    <w:basedOn w:val="848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8"/>
    <w:next w:val="848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link w:val="690"/>
    <w:uiPriority w:val="10"/>
    <w:rPr>
      <w:sz w:val="48"/>
      <w:szCs w:val="48"/>
    </w:rPr>
  </w:style>
  <w:style w:type="paragraph" w:styleId="692">
    <w:name w:val="Subtitle"/>
    <w:basedOn w:val="848"/>
    <w:next w:val="848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link w:val="692"/>
    <w:uiPriority w:val="11"/>
    <w:rPr>
      <w:sz w:val="24"/>
      <w:szCs w:val="24"/>
    </w:rPr>
  </w:style>
  <w:style w:type="paragraph" w:styleId="694">
    <w:name w:val="Quote"/>
    <w:basedOn w:val="848"/>
    <w:next w:val="848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8"/>
    <w:next w:val="848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paragraph" w:styleId="698">
    <w:name w:val="Header"/>
    <w:basedOn w:val="848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Header Char"/>
    <w:link w:val="698"/>
    <w:uiPriority w:val="99"/>
  </w:style>
  <w:style w:type="paragraph" w:styleId="700">
    <w:name w:val="Footer"/>
    <w:basedOn w:val="848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Footer Char"/>
    <w:link w:val="700"/>
    <w:uiPriority w:val="99"/>
  </w:style>
  <w:style w:type="paragraph" w:styleId="702">
    <w:name w:val="Caption"/>
    <w:basedOn w:val="848"/>
    <w:next w:val="848"/>
    <w:link w:val="7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3">
    <w:name w:val="Caption Char"/>
    <w:link w:val="702"/>
    <w:uiPriority w:val="35"/>
    <w:rPr>
      <w:b/>
      <w:bCs/>
      <w:color w:val="4f81bd" w:themeColor="accent1"/>
      <w:sz w:val="18"/>
      <w:szCs w:val="18"/>
    </w:rPr>
  </w:style>
  <w:style w:type="table" w:styleId="70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0">
    <w:name w:val="Hyperlink"/>
    <w:uiPriority w:val="99"/>
    <w:unhideWhenUsed/>
    <w:rPr>
      <w:color w:val="0000ff" w:themeColor="hyperlink"/>
      <w:u w:val="single"/>
    </w:rPr>
  </w:style>
  <w:style w:type="paragraph" w:styleId="831">
    <w:name w:val="footnote text"/>
    <w:basedOn w:val="848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>
    <w:name w:val="Footnote Text Char"/>
    <w:link w:val="831"/>
    <w:uiPriority w:val="99"/>
    <w:rPr>
      <w:sz w:val="18"/>
    </w:rPr>
  </w:style>
  <w:style w:type="character" w:styleId="833">
    <w:name w:val="footnote reference"/>
    <w:uiPriority w:val="99"/>
    <w:unhideWhenUsed/>
    <w:rPr>
      <w:vertAlign w:val="superscript"/>
    </w:rPr>
  </w:style>
  <w:style w:type="paragraph" w:styleId="834">
    <w:name w:val="endnote text"/>
    <w:basedOn w:val="848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>
    <w:name w:val="Endnote Text Char"/>
    <w:link w:val="834"/>
    <w:uiPriority w:val="99"/>
    <w:rPr>
      <w:sz w:val="20"/>
    </w:rPr>
  </w:style>
  <w:style w:type="character" w:styleId="836">
    <w:name w:val="endnote reference"/>
    <w:uiPriority w:val="99"/>
    <w:semiHidden/>
    <w:unhideWhenUsed/>
    <w:rPr>
      <w:vertAlign w:val="superscript"/>
    </w:rPr>
  </w:style>
  <w:style w:type="paragraph" w:styleId="837">
    <w:name w:val="toc 1"/>
    <w:basedOn w:val="848"/>
    <w:next w:val="848"/>
    <w:uiPriority w:val="39"/>
    <w:unhideWhenUsed/>
    <w:pPr>
      <w:ind w:left="0" w:right="0" w:firstLine="0"/>
      <w:spacing w:after="57"/>
    </w:pPr>
  </w:style>
  <w:style w:type="paragraph" w:styleId="838">
    <w:name w:val="toc 2"/>
    <w:basedOn w:val="848"/>
    <w:next w:val="848"/>
    <w:uiPriority w:val="39"/>
    <w:unhideWhenUsed/>
    <w:pPr>
      <w:ind w:left="283" w:right="0" w:firstLine="0"/>
      <w:spacing w:after="57"/>
    </w:pPr>
  </w:style>
  <w:style w:type="paragraph" w:styleId="839">
    <w:name w:val="toc 3"/>
    <w:basedOn w:val="848"/>
    <w:next w:val="848"/>
    <w:uiPriority w:val="39"/>
    <w:unhideWhenUsed/>
    <w:pPr>
      <w:ind w:left="567" w:right="0" w:firstLine="0"/>
      <w:spacing w:after="57"/>
    </w:pPr>
  </w:style>
  <w:style w:type="paragraph" w:styleId="840">
    <w:name w:val="toc 4"/>
    <w:basedOn w:val="848"/>
    <w:next w:val="848"/>
    <w:uiPriority w:val="39"/>
    <w:unhideWhenUsed/>
    <w:pPr>
      <w:ind w:left="850" w:right="0" w:firstLine="0"/>
      <w:spacing w:after="57"/>
    </w:pPr>
  </w:style>
  <w:style w:type="paragraph" w:styleId="841">
    <w:name w:val="toc 5"/>
    <w:basedOn w:val="848"/>
    <w:next w:val="848"/>
    <w:uiPriority w:val="39"/>
    <w:unhideWhenUsed/>
    <w:pPr>
      <w:ind w:left="1134" w:right="0" w:firstLine="0"/>
      <w:spacing w:after="57"/>
    </w:pPr>
  </w:style>
  <w:style w:type="paragraph" w:styleId="842">
    <w:name w:val="toc 6"/>
    <w:basedOn w:val="848"/>
    <w:next w:val="848"/>
    <w:uiPriority w:val="39"/>
    <w:unhideWhenUsed/>
    <w:pPr>
      <w:ind w:left="1417" w:right="0" w:firstLine="0"/>
      <w:spacing w:after="57"/>
    </w:pPr>
  </w:style>
  <w:style w:type="paragraph" w:styleId="843">
    <w:name w:val="toc 7"/>
    <w:basedOn w:val="848"/>
    <w:next w:val="848"/>
    <w:uiPriority w:val="39"/>
    <w:unhideWhenUsed/>
    <w:pPr>
      <w:ind w:left="1701" w:right="0" w:firstLine="0"/>
      <w:spacing w:after="57"/>
    </w:pPr>
  </w:style>
  <w:style w:type="paragraph" w:styleId="844">
    <w:name w:val="toc 8"/>
    <w:basedOn w:val="848"/>
    <w:next w:val="848"/>
    <w:uiPriority w:val="39"/>
    <w:unhideWhenUsed/>
    <w:pPr>
      <w:ind w:left="1984" w:right="0" w:firstLine="0"/>
      <w:spacing w:after="57"/>
    </w:pPr>
  </w:style>
  <w:style w:type="paragraph" w:styleId="845">
    <w:name w:val="toc 9"/>
    <w:basedOn w:val="848"/>
    <w:next w:val="848"/>
    <w:uiPriority w:val="39"/>
    <w:unhideWhenUsed/>
    <w:pPr>
      <w:ind w:left="2268" w:right="0" w:firstLine="0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848"/>
    <w:next w:val="848"/>
    <w:uiPriority w:val="99"/>
    <w:unhideWhenUsed/>
    <w:pPr>
      <w:spacing w:after="0" w:afterAutospacing="0"/>
    </w:pPr>
  </w:style>
  <w:style w:type="paragraph" w:styleId="848" w:default="1">
    <w:name w:val="Normal"/>
    <w:next w:val="848"/>
    <w:link w:val="848"/>
    <w:qFormat/>
    <w:rPr>
      <w:lang w:val="ru-RU" w:eastAsia="ru-RU" w:bidi="ar-SA"/>
    </w:rPr>
  </w:style>
  <w:style w:type="paragraph" w:styleId="849">
    <w:name w:val="Заголовок 1"/>
    <w:basedOn w:val="848"/>
    <w:next w:val="848"/>
    <w:link w:val="853"/>
    <w:qFormat/>
    <w:pPr>
      <w:jc w:val="center"/>
      <w:keepNext/>
      <w:outlineLvl w:val="0"/>
    </w:pPr>
    <w:rPr>
      <w:b/>
      <w:sz w:val="36"/>
      <w:lang w:val="en-US" w:eastAsia="en-US"/>
    </w:rPr>
  </w:style>
  <w:style w:type="character" w:styleId="850">
    <w:name w:val="Основной шрифт абзаца"/>
    <w:next w:val="850"/>
    <w:link w:val="848"/>
    <w:semiHidden/>
  </w:style>
  <w:style w:type="table" w:styleId="851">
    <w:name w:val="Обычная таблица"/>
    <w:next w:val="851"/>
    <w:link w:val="848"/>
    <w:semiHidden/>
    <w:tblPr/>
  </w:style>
  <w:style w:type="numbering" w:styleId="852">
    <w:name w:val="Нет списка"/>
    <w:next w:val="852"/>
    <w:link w:val="848"/>
    <w:semiHidden/>
  </w:style>
  <w:style w:type="character" w:styleId="853">
    <w:name w:val="Заголовок 1 Знак"/>
    <w:next w:val="853"/>
    <w:link w:val="849"/>
    <w:rPr>
      <w:b/>
      <w:sz w:val="36"/>
    </w:rPr>
  </w:style>
  <w:style w:type="character" w:styleId="854">
    <w:name w:val="Нижний колонтитул Знак"/>
    <w:next w:val="854"/>
    <w:link w:val="855"/>
    <w:rPr>
      <w:sz w:val="28"/>
      <w:szCs w:val="28"/>
    </w:rPr>
  </w:style>
  <w:style w:type="paragraph" w:styleId="855">
    <w:name w:val="Нижний колонтитул"/>
    <w:basedOn w:val="848"/>
    <w:next w:val="855"/>
    <w:link w:val="854"/>
    <w:pPr>
      <w:tabs>
        <w:tab w:val="center" w:pos="4677" w:leader="none"/>
        <w:tab w:val="right" w:pos="9355" w:leader="none"/>
      </w:tabs>
    </w:pPr>
    <w:rPr>
      <w:sz w:val="28"/>
      <w:szCs w:val="28"/>
      <w:lang w:val="en-US" w:eastAsia="en-US"/>
    </w:rPr>
  </w:style>
  <w:style w:type="character" w:styleId="856">
    <w:name w:val="Номер страницы"/>
    <w:next w:val="856"/>
    <w:link w:val="848"/>
  </w:style>
  <w:style w:type="character" w:styleId="857">
    <w:name w:val="Верхний колонтитул Знак"/>
    <w:next w:val="857"/>
    <w:link w:val="858"/>
    <w:rPr>
      <w:sz w:val="28"/>
      <w:szCs w:val="28"/>
    </w:rPr>
  </w:style>
  <w:style w:type="paragraph" w:styleId="858">
    <w:name w:val="Верхний колонтитул"/>
    <w:basedOn w:val="848"/>
    <w:next w:val="858"/>
    <w:link w:val="857"/>
    <w:pPr>
      <w:tabs>
        <w:tab w:val="center" w:pos="4677" w:leader="none"/>
        <w:tab w:val="right" w:pos="9355" w:leader="none"/>
      </w:tabs>
    </w:pPr>
    <w:rPr>
      <w:sz w:val="28"/>
      <w:szCs w:val="28"/>
      <w:lang w:val="en-US" w:eastAsia="en-US"/>
    </w:rPr>
  </w:style>
  <w:style w:type="character" w:styleId="859">
    <w:name w:val="Font Style12"/>
    <w:next w:val="859"/>
    <w:link w:val="848"/>
    <w:rPr>
      <w:rFonts w:ascii="Times New Roman" w:hAnsi="Times New Roman" w:cs="Times New Roman"/>
      <w:sz w:val="26"/>
      <w:szCs w:val="26"/>
    </w:rPr>
  </w:style>
  <w:style w:type="character" w:styleId="860">
    <w:name w:val="Основной текст Знак"/>
    <w:next w:val="860"/>
    <w:link w:val="861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861">
    <w:name w:val="Основной текст"/>
    <w:basedOn w:val="848"/>
    <w:next w:val="861"/>
    <w:link w:val="860"/>
    <w:pPr>
      <w:spacing w:after="120"/>
      <w:widowControl w:val="off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styleId="862">
    <w:name w:val="Font Style11"/>
    <w:next w:val="862"/>
    <w:link w:val="848"/>
    <w:rPr>
      <w:rFonts w:ascii="Times New Roman" w:hAnsi="Times New Roman" w:cs="Times New Roman"/>
      <w:sz w:val="26"/>
      <w:szCs w:val="26"/>
    </w:rPr>
  </w:style>
  <w:style w:type="character" w:styleId="863">
    <w:name w:val="Текст выноски Знак"/>
    <w:next w:val="863"/>
    <w:link w:val="864"/>
    <w:rPr>
      <w:rFonts w:ascii="Tahoma" w:hAnsi="Tahoma" w:cs="Tahoma"/>
      <w:sz w:val="16"/>
      <w:szCs w:val="16"/>
    </w:rPr>
  </w:style>
  <w:style w:type="paragraph" w:styleId="864">
    <w:name w:val="Текст выноски"/>
    <w:basedOn w:val="848"/>
    <w:next w:val="864"/>
    <w:link w:val="863"/>
    <w:rPr>
      <w:rFonts w:ascii="Tahoma" w:hAnsi="Tahoma"/>
      <w:sz w:val="16"/>
      <w:szCs w:val="16"/>
      <w:lang w:val="en-US" w:eastAsia="en-US"/>
    </w:rPr>
  </w:style>
  <w:style w:type="paragraph" w:styleId="865">
    <w:name w:val="Char Char1 Знак Знак Знак"/>
    <w:basedOn w:val="848"/>
    <w:next w:val="865"/>
    <w:link w:val="848"/>
    <w:rPr>
      <w:rFonts w:ascii="Verdana" w:hAnsi="Verdana" w:cs="Verdana"/>
      <w:lang w:val="en-US" w:eastAsia="en-US"/>
    </w:rPr>
  </w:style>
  <w:style w:type="paragraph" w:styleId="866">
    <w:name w:val="ConsPlusCell"/>
    <w:next w:val="866"/>
    <w:link w:val="848"/>
    <w:uiPriority w:val="99"/>
    <w:rPr>
      <w:sz w:val="24"/>
      <w:szCs w:val="24"/>
      <w:lang w:val="ru-RU" w:eastAsia="ru-RU" w:bidi="ar-SA"/>
    </w:rPr>
  </w:style>
  <w:style w:type="paragraph" w:styleId="867">
    <w:name w:val="Абзац списка"/>
    <w:basedOn w:val="848"/>
    <w:next w:val="867"/>
    <w:link w:val="848"/>
    <w:qFormat/>
    <w:pPr>
      <w:contextualSpacing/>
      <w:ind w:left="720"/>
    </w:pPr>
    <w:rPr>
      <w:sz w:val="24"/>
      <w:szCs w:val="24"/>
    </w:rPr>
  </w:style>
  <w:style w:type="table" w:styleId="868">
    <w:name w:val="Сетка таблицы"/>
    <w:basedOn w:val="851"/>
    <w:next w:val="868"/>
    <w:link w:val="848"/>
    <w:tblPr/>
  </w:style>
  <w:style w:type="paragraph" w:styleId="869">
    <w:name w:val="ConsPlusNormal"/>
    <w:next w:val="869"/>
    <w:link w:val="848"/>
    <w:pPr>
      <w:widowControl w:val="off"/>
    </w:pPr>
    <w:rPr>
      <w:rFonts w:ascii="Calibri" w:hAnsi="Calibri" w:cs="Calibri"/>
      <w:sz w:val="22"/>
      <w:lang w:val="ru-RU" w:eastAsia="ru-RU" w:bidi="ar-SA"/>
    </w:rPr>
  </w:style>
  <w:style w:type="character" w:styleId="870">
    <w:name w:val="Гиперссылка"/>
    <w:next w:val="870"/>
    <w:link w:val="848"/>
    <w:unhideWhenUsed/>
    <w:rPr>
      <w:color w:val="0000ff"/>
      <w:u w:val="single"/>
    </w:rPr>
  </w:style>
  <w:style w:type="character" w:styleId="871" w:default="1">
    <w:name w:val="Default Paragraph Font"/>
    <w:uiPriority w:val="1"/>
    <w:semiHidden/>
    <w:unhideWhenUsed/>
  </w:style>
  <w:style w:type="numbering" w:styleId="872" w:default="1">
    <w:name w:val="No List"/>
    <w:uiPriority w:val="99"/>
    <w:semiHidden/>
    <w:unhideWhenUsed/>
  </w:style>
  <w:style w:type="table" w:styleId="8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ТИК</Company>
  <DocSecurity>0</DocSecurity>
  <HyperlinksChanged>false</HyperlinksChanged>
  <ScaleCrop>false</ScaleCrop>
  <SharedDoc>false</SharedDoc>
  <Template>Реш_ДГО_9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ИРКУТСКАЯ ОБЛАСТЬ</dc:title>
  <dc:creator>MEG</dc:creator>
  <cp:lastModifiedBy>ggkh</cp:lastModifiedBy>
  <cp:revision>49</cp:revision>
  <dcterms:created xsi:type="dcterms:W3CDTF">2023-03-27T06:21:00Z</dcterms:created>
  <dcterms:modified xsi:type="dcterms:W3CDTF">2026-04-27T06:30:28Z</dcterms:modified>
  <cp:version>917504</cp:version>
</cp:coreProperties>
</file>